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CONTROL OF CONTRACTORS PROCEDURE</w:t>
      </w:r>
    </w:p>
    <w:p>
      <w:pPr>
        <w:spacing w:after="60"/>
      </w:pPr>
      <w:r>
        <w:rPr>
          <w:rFonts w:ascii="Arial" w:cs="Arial" w:eastAsia="Arial" w:hAnsi="Arial"/>
          <w:b/>
          <w:bCs/>
          <w:color w:val="DC2626"/>
          <w:sz w:val="19"/>
          <w:szCs w:val="19"/>
        </w:rPr>
        <w:t xml:space="preserve">CDM 2015 · regulation 8</w:t>
      </w:r>
    </w:p>
    <w:p>
      <w:pPr>
        <w:spacing w:after="80"/>
      </w:pPr>
      <w:r>
        <w:rPr>
          <w:rFonts w:ascii="Arial" w:cs="Arial" w:eastAsia="Arial" w:hAnsi="Arial"/>
          <w:color w:val="5A6069"/>
          <w:sz w:val="19"/>
          <w:szCs w:val="19"/>
        </w:rPr>
        <w:t xml:space="preserve">How the business selects, appoints, inducts, monitors and reviews the contractors it engages. Adapt the responsibilities and timings to your own organisation before issuing it.</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NCE-PROC-11</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01/03/2025</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HOW TO USE THIS TEMPLATE</w:t>
      </w:r>
    </w:p>
    <w:p>
      <w:pPr>
        <w:spacing w:after="80"/>
      </w:pPr>
      <w:r>
        <w:rPr>
          <w:rFonts w:ascii="Arial" w:cs="Arial" w:eastAsia="Arial" w:hAnsi="Arial"/>
          <w:b/>
          <w:bCs/>
          <w:sz w:val="19"/>
          <w:szCs w:val="19"/>
        </w:rPr>
        <w:t xml:space="preserve">Before you issue this procedure</w:t>
      </w:r>
    </w:p>
    <w:p>
      <w:pPr>
        <w:pStyle w:val="ListParagraph"/>
        <w:numPr>
          <w:ilvl w:val="0"/>
          <w:numId w:val="1"/>
        </w:numPr>
        <w:spacing w:after="50"/>
      </w:pPr>
      <w:r>
        <w:rPr>
          <w:rFonts w:ascii="Arial" w:cs="Arial" w:eastAsia="Arial" w:hAnsi="Arial"/>
          <w:sz w:val="19"/>
          <w:szCs w:val="19"/>
        </w:rPr>
        <w:t xml:space="preserve">Change the responsibilities to the names in your own business before you issue it. A procedure that names a role nobody holds is a procedure nobody follows.</w:t>
      </w:r>
    </w:p>
    <w:p>
      <w:pPr>
        <w:pStyle w:val="ListParagraph"/>
        <w:numPr>
          <w:ilvl w:val="0"/>
          <w:numId w:val="1"/>
        </w:numPr>
        <w:spacing w:after="50"/>
      </w:pPr>
      <w:r>
        <w:rPr>
          <w:rFonts w:ascii="Arial" w:cs="Arial" w:eastAsia="Arial" w:hAnsi="Arial"/>
          <w:sz w:val="19"/>
          <w:szCs w:val="19"/>
        </w:rPr>
        <w:t xml:space="preserve">Set the monitoring frequencies to what you will actually do. Weekly checks written down and done monthly are worse evidence than monthly checks written down and done.</w:t>
      </w:r>
    </w:p>
    <w:p>
      <w:pPr>
        <w:pStyle w:val="ListParagraph"/>
        <w:numPr>
          <w:ilvl w:val="0"/>
          <w:numId w:val="1"/>
        </w:numPr>
        <w:spacing w:after="50"/>
      </w:pPr>
      <w:r>
        <w:rPr>
          <w:rFonts w:ascii="Arial" w:cs="Arial" w:eastAsia="Arial" w:hAnsi="Arial"/>
          <w:sz w:val="19"/>
          <w:szCs w:val="19"/>
        </w:rPr>
        <w:t xml:space="preserve">Issue it with the onboarding evidence checklist. The procedure says what happens; the checklist is where it is recorded.</w:t>
      </w:r>
    </w:p>
    <w:p>
      <w:pPr>
        <w:pStyle w:val="ListParagraph"/>
        <w:numPr>
          <w:ilvl w:val="0"/>
          <w:numId w:val="1"/>
        </w:numPr>
        <w:spacing w:after="50"/>
      </w:pPr>
      <w:r>
        <w:rPr>
          <w:rFonts w:ascii="Arial" w:cs="Arial" w:eastAsia="Arial" w:hAnsi="Arial"/>
          <w:sz w:val="19"/>
          <w:szCs w:val="19"/>
        </w:rPr>
        <w:t xml:space="preserve">Review it on the date in the responsibilities table, and record the review.</w:t>
      </w:r>
    </w:p>
    <w:p>
      <w:r>
        <w:br w:type="page"/>
      </w:r>
    </w:p>
    <w:p>
      <w:pPr>
        <w:pStyle w:val="Heading2"/>
        <w:spacing w:after="80" w:before="180"/>
      </w:pPr>
      <w:r>
        <w:rPr>
          <w:rFonts w:ascii="Arial" w:cs="Arial" w:eastAsia="Arial" w:hAnsi="Arial"/>
          <w:b/>
          <w:bCs/>
          <w:color w:val="DC2626"/>
          <w:sz w:val="22"/>
          <w:szCs w:val="22"/>
        </w:rPr>
        <w:t xml:space="preserve">PURPOSE AND SCOPE</w:t>
      </w:r>
    </w:p>
    <w:p>
      <w:pPr>
        <w:spacing w:after="80"/>
      </w:pPr>
      <w:r>
        <w:rPr>
          <w:rFonts w:ascii="Arial" w:cs="Arial" w:eastAsia="Arial" w:hAnsi="Arial"/>
          <w:sz w:val="19"/>
          <w:szCs w:val="19"/>
        </w:rPr>
        <w:t xml:space="preserve">This procedure applies to every contractor and subcontractor engaged to carry out construction work, and to the people they bring to site. It exists so that appointments can be shown to have been made on evidence rather than on familiarity.</w:t>
      </w:r>
    </w:p>
    <w:p>
      <w:pPr>
        <w:spacing w:after="80"/>
      </w:pPr>
      <w:r>
        <w:rPr>
          <w:rFonts w:ascii="Arial" w:cs="Arial" w:eastAsia="Arial" w:hAnsi="Arial"/>
          <w:sz w:val="19"/>
          <w:szCs w:val="19"/>
        </w:rPr>
        <w:t xml:space="preserve">Contractor means any contractor or subcontractor engaged to carry out construction work. Approver means the person named below who approves new contractors. Register means the approved contractor register.</w:t>
      </w:r>
    </w:p>
    <w:p>
      <w:pPr>
        <w:pStyle w:val="Heading2"/>
        <w:spacing w:after="80" w:before="180"/>
      </w:pPr>
      <w:r>
        <w:rPr>
          <w:rFonts w:ascii="Arial" w:cs="Arial" w:eastAsia="Arial" w:hAnsi="Arial"/>
          <w:b/>
          <w:bCs/>
          <w:color w:val="DC2626"/>
          <w:sz w:val="22"/>
          <w:szCs w:val="22"/>
        </w:rPr>
        <w:t xml:space="preserve">RESPONSIBILITIES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Business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Procedure owner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 Quantity Surveyor</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Approves new contractors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 Quantity Surveyor</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Holds the approved contractor register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 Adeyemi, Accounts</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Carries out site inductions</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 Pardoe, Site Manager</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Reviews performance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 Quantity Surveyor</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last review of this procedure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01/03/2025</w:t>
            </w:r>
          </w:p>
        </w:tc>
      </w:tr>
    </w:tbl>
    <w:p>
      <w:pPr>
        <w:pStyle w:val="Heading2"/>
        <w:spacing w:after="80" w:before="180"/>
      </w:pPr>
      <w:r>
        <w:rPr>
          <w:rFonts w:ascii="Arial" w:cs="Arial" w:eastAsia="Arial" w:hAnsi="Arial"/>
          <w:b/>
          <w:bCs/>
          <w:color w:val="DC2626"/>
          <w:sz w:val="22"/>
          <w:szCs w:val="22"/>
        </w:rPr>
        <w:t xml:space="preserve">1. SELECTION AND ASSESSMENT</w:t>
      </w:r>
    </w:p>
    <w:p>
      <w:pPr>
        <w:spacing w:after="100"/>
        <w:ind w:left="560" w:hanging="560"/>
      </w:pPr>
      <w:r>
        <w:rPr>
          <w:rFonts w:ascii="Arial" w:cs="Arial" w:eastAsia="Arial" w:hAnsi="Arial"/>
          <w:b/>
          <w:bCs/>
          <w:sz w:val="19"/>
          <w:szCs w:val="19"/>
        </w:rPr>
        <w:t xml:space="preserve">1.1  </w:t>
      </w:r>
      <w:r>
        <w:rPr>
          <w:rFonts w:ascii="Arial" w:cs="Arial" w:eastAsia="Arial" w:hAnsi="Arial"/>
          <w:b w:val="false"/>
          <w:bCs w:val="false"/>
          <w:sz w:val="19"/>
          <w:szCs w:val="19"/>
        </w:rPr>
        <w:t xml:space="preserve">No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engaged until the onboarding evidence checklist is complete and an approval record has been signed by the </w:t>
      </w:r>
      <w:r>
        <w:rPr>
          <w:rFonts w:ascii="Arial" w:cs="Arial" w:eastAsia="Arial" w:hAnsi="Arial"/>
          <w:b/>
          <w:bCs/>
          <w:sz w:val="19"/>
          <w:szCs w:val="19"/>
        </w:rPr>
        <w:t xml:space="preserve">Approver</w:t>
      </w:r>
      <w:r>
        <w:rPr>
          <w:rFonts w:ascii="Arial" w:cs="Arial" w:eastAsia="Arial" w:hAnsi="Arial"/>
          <w:b w:val="false"/>
          <w:bCs w:val="false"/>
          <w:sz w:val="19"/>
          <w:szCs w:val="19"/>
        </w:rPr>
        <w:t xml:space="preserve">.</w:t>
      </w:r>
    </w:p>
    <w:p>
      <w:pPr>
        <w:spacing w:after="100"/>
        <w:ind w:left="560" w:hanging="560"/>
      </w:pPr>
      <w:r>
        <w:rPr>
          <w:rFonts w:ascii="Arial" w:cs="Arial" w:eastAsia="Arial" w:hAnsi="Arial"/>
          <w:b/>
          <w:bCs/>
          <w:sz w:val="19"/>
          <w:szCs w:val="19"/>
        </w:rPr>
        <w:t xml:space="preserve">1.2  </w:t>
      </w:r>
      <w:r>
        <w:rPr>
          <w:rFonts w:ascii="Arial" w:cs="Arial" w:eastAsia="Arial" w:hAnsi="Arial"/>
          <w:b w:val="false"/>
          <w:bCs w:val="false"/>
          <w:sz w:val="19"/>
          <w:szCs w:val="19"/>
        </w:rPr>
        <w:t xml:space="preserve">Assessment covers skills, knowledge and experience, and organisational capability, as regulation 8 of the CDM Regulations 2015 requires of whoever makes the appointment.</w:t>
      </w:r>
    </w:p>
    <w:p>
      <w:pPr>
        <w:spacing w:after="100"/>
        <w:ind w:left="560" w:hanging="560"/>
      </w:pPr>
      <w:r>
        <w:rPr>
          <w:rFonts w:ascii="Arial" w:cs="Arial" w:eastAsia="Arial" w:hAnsi="Arial"/>
          <w:b/>
          <w:bCs/>
          <w:sz w:val="19"/>
          <w:szCs w:val="19"/>
        </w:rPr>
        <w:t xml:space="preserve">1.3  </w:t>
      </w:r>
      <w:r>
        <w:rPr>
          <w:rFonts w:ascii="Arial" w:cs="Arial" w:eastAsia="Arial" w:hAnsi="Arial"/>
          <w:b w:val="false"/>
          <w:bCs w:val="false"/>
          <w:sz w:val="19"/>
          <w:szCs w:val="19"/>
        </w:rPr>
        <w:t xml:space="preserve">Assessment is proportionate to the risk of the package. A high-risk package gets references and a method statement review; a low-risk one may not.</w:t>
      </w:r>
    </w:p>
    <w:p>
      <w:pPr>
        <w:spacing w:after="100"/>
        <w:ind w:left="560" w:hanging="560"/>
      </w:pPr>
      <w:r>
        <w:rPr>
          <w:rFonts w:ascii="Arial" w:cs="Arial" w:eastAsia="Arial" w:hAnsi="Arial"/>
          <w:b/>
          <w:bCs/>
          <w:sz w:val="19"/>
          <w:szCs w:val="19"/>
        </w:rPr>
        <w:t xml:space="preserve">1.4  </w:t>
      </w:r>
      <w:r>
        <w:rPr>
          <w:rFonts w:ascii="Arial" w:cs="Arial" w:eastAsia="Arial" w:hAnsi="Arial"/>
          <w:b w:val="false"/>
          <w:bCs w:val="false"/>
          <w:sz w:val="19"/>
          <w:szCs w:val="19"/>
        </w:rPr>
        <w:t xml:space="preserve">The outcome is recorded whether or not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approved, with the reason.</w:t>
      </w:r>
    </w:p>
    <w:p>
      <w:pPr>
        <w:pStyle w:val="Heading2"/>
        <w:spacing w:after="80" w:before="180"/>
      </w:pPr>
      <w:r>
        <w:rPr>
          <w:rFonts w:ascii="Arial" w:cs="Arial" w:eastAsia="Arial" w:hAnsi="Arial"/>
          <w:b/>
          <w:bCs/>
          <w:color w:val="DC2626"/>
          <w:sz w:val="22"/>
          <w:szCs w:val="22"/>
        </w:rPr>
        <w:t xml:space="preserve">2. APPOINTMENT</w:t>
      </w:r>
    </w:p>
    <w:p>
      <w:pPr>
        <w:spacing w:after="100"/>
        <w:ind w:left="560" w:hanging="560"/>
      </w:pPr>
      <w:r>
        <w:rPr>
          <w:rFonts w:ascii="Arial" w:cs="Arial" w:eastAsia="Arial" w:hAnsi="Arial"/>
          <w:b/>
          <w:bCs/>
          <w:sz w:val="19"/>
          <w:szCs w:val="19"/>
        </w:rPr>
        <w:t xml:space="preserve">2.1  </w:t>
      </w:r>
      <w:r>
        <w:rPr>
          <w:rFonts w:ascii="Arial" w:cs="Arial" w:eastAsia="Arial" w:hAnsi="Arial"/>
          <w:b w:val="false"/>
          <w:bCs w:val="false"/>
          <w:sz w:val="19"/>
          <w:szCs w:val="19"/>
        </w:rPr>
        <w:t xml:space="preserve">Every appointment is made on a written order that states the scope, the price or rates, the payment cycle and the insurance levels required.</w:t>
      </w:r>
    </w:p>
    <w:p>
      <w:pPr>
        <w:spacing w:after="100"/>
        <w:ind w:left="560" w:hanging="560"/>
      </w:pPr>
      <w:r>
        <w:rPr>
          <w:rFonts w:ascii="Arial" w:cs="Arial" w:eastAsia="Arial" w:hAnsi="Arial"/>
          <w:b/>
          <w:bCs/>
          <w:sz w:val="19"/>
          <w:szCs w:val="19"/>
        </w:rPr>
        <w:t xml:space="preserve">2.2  </w:t>
      </w:r>
      <w:r>
        <w:rPr>
          <w:rFonts w:ascii="Arial" w:cs="Arial" w:eastAsia="Arial" w:hAnsi="Arial"/>
          <w:b w:val="false"/>
          <w:bCs w:val="false"/>
          <w:sz w:val="19"/>
          <w:szCs w:val="19"/>
        </w:rPr>
        <w:t xml:space="preserve">The order attaches the site rules, the construction phase plan and any pre-construction information relevant to the package.</w:t>
      </w:r>
    </w:p>
    <w:p>
      <w:pPr>
        <w:spacing w:after="100"/>
        <w:ind w:left="560" w:hanging="560"/>
      </w:pPr>
      <w:r>
        <w:rPr>
          <w:rFonts w:ascii="Arial" w:cs="Arial" w:eastAsia="Arial" w:hAnsi="Arial"/>
          <w:b/>
          <w:bCs/>
          <w:sz w:val="19"/>
          <w:szCs w:val="19"/>
        </w:rPr>
        <w:t xml:space="preserve">2.3  </w:t>
      </w:r>
      <w:r>
        <w:rPr>
          <w:rFonts w:ascii="Arial" w:cs="Arial" w:eastAsia="Arial" w:hAnsi="Arial"/>
          <w:b w:val="false"/>
          <w:bCs w:val="false"/>
          <w:sz w:val="19"/>
          <w:szCs w:val="19"/>
        </w:rPr>
        <w:t xml:space="preserve">Verbal instructions to start are not permitted.</w:t>
      </w:r>
    </w:p>
    <w:p>
      <w:pPr>
        <w:pStyle w:val="Heading2"/>
        <w:spacing w:after="80" w:before="180"/>
      </w:pPr>
      <w:r>
        <w:rPr>
          <w:rFonts w:ascii="Arial" w:cs="Arial" w:eastAsia="Arial" w:hAnsi="Arial"/>
          <w:b/>
          <w:bCs/>
          <w:color w:val="DC2626"/>
          <w:sz w:val="22"/>
          <w:szCs w:val="22"/>
        </w:rPr>
        <w:t xml:space="preserve">3. INDUCTION AND ACCESS</w:t>
      </w:r>
    </w:p>
    <w:p>
      <w:pPr>
        <w:spacing w:after="100"/>
        <w:ind w:left="560" w:hanging="560"/>
      </w:pPr>
      <w:r>
        <w:rPr>
          <w:rFonts w:ascii="Arial" w:cs="Arial" w:eastAsia="Arial" w:hAnsi="Arial"/>
          <w:b/>
          <w:bCs/>
          <w:sz w:val="19"/>
          <w:szCs w:val="19"/>
        </w:rPr>
        <w:t xml:space="preserve">3.1  </w:t>
      </w:r>
      <w:r>
        <w:rPr>
          <w:rFonts w:ascii="Arial" w:cs="Arial" w:eastAsia="Arial" w:hAnsi="Arial"/>
          <w:b w:val="false"/>
          <w:bCs w:val="false"/>
          <w:sz w:val="19"/>
          <w:szCs w:val="19"/>
        </w:rPr>
        <w:t xml:space="preserve">No operative starts work before a site induction is recorded against their name.</w:t>
      </w:r>
    </w:p>
    <w:p>
      <w:pPr>
        <w:spacing w:after="100"/>
        <w:ind w:left="560" w:hanging="560"/>
      </w:pPr>
      <w:r>
        <w:rPr>
          <w:rFonts w:ascii="Arial" w:cs="Arial" w:eastAsia="Arial" w:hAnsi="Arial"/>
          <w:b/>
          <w:bCs/>
          <w:sz w:val="19"/>
          <w:szCs w:val="19"/>
        </w:rPr>
        <w:t xml:space="preserve">3.2  </w:t>
      </w:r>
      <w:r>
        <w:rPr>
          <w:rFonts w:ascii="Arial" w:cs="Arial" w:eastAsia="Arial" w:hAnsi="Arial"/>
          <w:b w:val="false"/>
          <w:bCs w:val="false"/>
          <w:sz w:val="19"/>
          <w:szCs w:val="19"/>
        </w:rPr>
        <w:t xml:space="preserve">Right to work evidence and the competence evidence the site requires are checked at first attendance.</w:t>
      </w:r>
    </w:p>
    <w:p>
      <w:pPr>
        <w:spacing w:after="100"/>
        <w:ind w:left="560" w:hanging="560"/>
      </w:pPr>
      <w:r>
        <w:rPr>
          <w:rFonts w:ascii="Arial" w:cs="Arial" w:eastAsia="Arial" w:hAnsi="Arial"/>
          <w:b/>
          <w:bCs/>
          <w:sz w:val="19"/>
          <w:szCs w:val="19"/>
        </w:rPr>
        <w:t xml:space="preserve">3.3  </w:t>
      </w:r>
      <w:r>
        <w:rPr>
          <w:rFonts w:ascii="Arial" w:cs="Arial" w:eastAsia="Arial" w:hAnsi="Arial"/>
          <w:b w:val="false"/>
          <w:bCs w:val="false"/>
          <w:sz w:val="19"/>
          <w:szCs w:val="19"/>
        </w:rPr>
        <w:t xml:space="preserve">Access is refused where evidence is missing, and the refusal is logged.</w:t>
      </w:r>
    </w:p>
    <w:p>
      <w:pPr>
        <w:pStyle w:val="Heading2"/>
        <w:spacing w:after="80" w:before="180"/>
      </w:pPr>
      <w:r>
        <w:rPr>
          <w:rFonts w:ascii="Arial" w:cs="Arial" w:eastAsia="Arial" w:hAnsi="Arial"/>
          <w:b/>
          <w:bCs/>
          <w:color w:val="DC2626"/>
          <w:sz w:val="22"/>
          <w:szCs w:val="22"/>
        </w:rPr>
        <w:t xml:space="preserve">4. PERFORMANCE REVIEW AND REMOVAL</w:t>
      </w:r>
    </w:p>
    <w:p>
      <w:pPr>
        <w:spacing w:after="100"/>
        <w:ind w:left="560" w:hanging="560"/>
      </w:pPr>
      <w:r>
        <w:rPr>
          <w:rFonts w:ascii="Arial" w:cs="Arial" w:eastAsia="Arial" w:hAnsi="Arial"/>
          <w:b/>
          <w:bCs/>
          <w:sz w:val="19"/>
          <w:szCs w:val="19"/>
        </w:rPr>
        <w:t xml:space="preserve">4.1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s are reviewed at the end of each package on quality, safety, programme and commercial behaviour.</w:t>
      </w:r>
    </w:p>
    <w:p>
      <w:pPr>
        <w:spacing w:after="100"/>
        <w:ind w:left="560" w:hanging="560"/>
      </w:pPr>
      <w:r>
        <w:rPr>
          <w:rFonts w:ascii="Arial" w:cs="Arial" w:eastAsia="Arial" w:hAnsi="Arial"/>
          <w:b/>
          <w:bCs/>
          <w:sz w:val="19"/>
          <w:szCs w:val="19"/>
        </w:rPr>
        <w:t xml:space="preserve">4.2  </w:t>
      </w:r>
      <w:r>
        <w:rPr>
          <w:rFonts w:ascii="Arial" w:cs="Arial" w:eastAsia="Arial" w:hAnsi="Arial"/>
          <w:b w:val="false"/>
          <w:bCs w:val="false"/>
          <w:sz w:val="19"/>
          <w:szCs w:val="19"/>
        </w:rPr>
        <w:t xml:space="preserve">Repeated failures result in conditions on future appointments or removal from the </w:t>
      </w:r>
      <w:r>
        <w:rPr>
          <w:rFonts w:ascii="Arial" w:cs="Arial" w:eastAsia="Arial" w:hAnsi="Arial"/>
          <w:b/>
          <w:bCs/>
          <w:sz w:val="19"/>
          <w:szCs w:val="19"/>
        </w:rPr>
        <w:t xml:space="preserve">Register</w:t>
      </w:r>
      <w:r>
        <w:rPr>
          <w:rFonts w:ascii="Arial" w:cs="Arial" w:eastAsia="Arial" w:hAnsi="Arial"/>
          <w:b w:val="false"/>
          <w:bCs w:val="false"/>
          <w:sz w:val="19"/>
          <w:szCs w:val="19"/>
        </w:rPr>
        <w:t xml:space="preserve">, recorded with the reason.</w:t>
      </w:r>
    </w:p>
    <w:p>
      <w:pPr>
        <w:spacing w:after="100"/>
        <w:ind w:left="560" w:hanging="560"/>
      </w:pPr>
      <w:r>
        <w:rPr>
          <w:rFonts w:ascii="Arial" w:cs="Arial" w:eastAsia="Arial" w:hAnsi="Arial"/>
          <w:b/>
          <w:bCs/>
          <w:sz w:val="19"/>
          <w:szCs w:val="19"/>
        </w:rPr>
        <w:t xml:space="preserve">4.3  </w:t>
      </w:r>
      <w:r>
        <w:rPr>
          <w:rFonts w:ascii="Arial" w:cs="Arial" w:eastAsia="Arial" w:hAnsi="Arial"/>
          <w:b w:val="false"/>
          <w:bCs w:val="false"/>
          <w:sz w:val="19"/>
          <w:szCs w:val="19"/>
        </w:rPr>
        <w:t xml:space="preserve">Removal from the </w:t>
      </w:r>
      <w:r>
        <w:rPr>
          <w:rFonts w:ascii="Arial" w:cs="Arial" w:eastAsia="Arial" w:hAnsi="Arial"/>
          <w:b/>
          <w:bCs/>
          <w:sz w:val="19"/>
          <w:szCs w:val="19"/>
        </w:rPr>
        <w:t xml:space="preserve">Register</w:t>
      </w:r>
      <w:r>
        <w:rPr>
          <w:rFonts w:ascii="Arial" w:cs="Arial" w:eastAsia="Arial" w:hAnsi="Arial"/>
          <w:b w:val="false"/>
          <w:bCs w:val="false"/>
          <w:sz w:val="19"/>
          <w:szCs w:val="19"/>
        </w:rPr>
        <w:t xml:space="preserve"> is communicated to everyone with authority to place orders.</w:t>
      </w:r>
    </w:p>
    <w:p>
      <w:pPr>
        <w:pStyle w:val="Heading2"/>
        <w:spacing w:after="80" w:before="180"/>
      </w:pPr>
      <w:r>
        <w:rPr>
          <w:rFonts w:ascii="Arial" w:cs="Arial" w:eastAsia="Arial" w:hAnsi="Arial"/>
          <w:b/>
          <w:bCs/>
          <w:color w:val="DC2626"/>
          <w:sz w:val="22"/>
          <w:szCs w:val="22"/>
        </w:rPr>
        <w:t xml:space="preserve">5. RECORDS</w:t>
      </w:r>
    </w:p>
    <w:p>
      <w:pPr>
        <w:spacing w:after="100"/>
        <w:ind w:left="560" w:hanging="560"/>
      </w:pPr>
      <w:r>
        <w:rPr>
          <w:rFonts w:ascii="Arial" w:cs="Arial" w:eastAsia="Arial" w:hAnsi="Arial"/>
          <w:b/>
          <w:bCs/>
          <w:sz w:val="19"/>
          <w:szCs w:val="19"/>
        </w:rPr>
        <w:t xml:space="preserve">5.1  </w:t>
      </w:r>
      <w:r>
        <w:rPr>
          <w:rFonts w:ascii="Arial" w:cs="Arial" w:eastAsia="Arial" w:hAnsi="Arial"/>
          <w:b w:val="false"/>
          <w:bCs w:val="false"/>
          <w:sz w:val="19"/>
          <w:szCs w:val="19"/>
        </w:rPr>
        <w:t xml:space="preserve">Onboarding evidence, approval records, inductions, monitoring records and reviews are kept for the period stated in the retention policy.</w:t>
      </w:r>
    </w:p>
    <w:p>
      <w:pPr>
        <w:spacing w:after="100"/>
        <w:ind w:left="560" w:hanging="560"/>
      </w:pPr>
      <w:r>
        <w:rPr>
          <w:rFonts w:ascii="Arial" w:cs="Arial" w:eastAsia="Arial" w:hAnsi="Arial"/>
          <w:b/>
          <w:bCs/>
          <w:sz w:val="19"/>
          <w:szCs w:val="19"/>
        </w:rPr>
        <w:t xml:space="preserve">5.2  </w:t>
      </w:r>
      <w:r>
        <w:rPr>
          <w:rFonts w:ascii="Arial" w:cs="Arial" w:eastAsia="Arial" w:hAnsi="Arial"/>
          <w:b w:val="false"/>
          <w:bCs w:val="false"/>
          <w:sz w:val="19"/>
          <w:szCs w:val="19"/>
        </w:rPr>
        <w:t xml:space="preserve">Records are held where the person appointing a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can actually reach them, not in a personal mailbox.</w:t>
      </w:r>
    </w:p>
    <w:p>
      <w:pPr>
        <w:pStyle w:val="Heading2"/>
        <w:spacing w:after="80" w:before="180"/>
      </w:pPr>
      <w:r>
        <w:rPr>
          <w:rFonts w:ascii="Arial" w:cs="Arial" w:eastAsia="Arial" w:hAnsi="Arial"/>
          <w:b/>
          <w:bCs/>
          <w:color w:val="DC2626"/>
          <w:sz w:val="22"/>
          <w:szCs w:val="22"/>
        </w:rPr>
        <w:t xml:space="preserve">MONITORING</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Check</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Frequency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Carried out by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Record kept</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Insurance and document expiry review</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Weekly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 Adeyemi, Accounts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Onboarding checklist</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Site safety inspection covering contractor works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Weekly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 Pardoe, Site Manager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Inspection log</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Method statement compliance spot check</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Per package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 Pardoe, Site Manager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RAMS file</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Payment and CIS statement issue check</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Monthly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L. Adeyemi, Accounts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CIS statement register</w:t>
            </w:r>
          </w:p>
        </w:tc>
      </w:tr>
    </w:tbl>
    <w:p>
      <w:pPr>
        <w:pStyle w:val="Heading2"/>
        <w:spacing w:after="80" w:before="180"/>
      </w:pPr>
      <w:r>
        <w:rPr>
          <w:rFonts w:ascii="Arial" w:cs="Arial" w:eastAsia="Arial" w:hAnsi="Arial"/>
          <w:b/>
          <w:bCs/>
          <w:color w:val="DC2626"/>
          <w:sz w:val="22"/>
          <w:szCs w:val="22"/>
        </w:rPr>
        <w:t xml:space="preserve">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Procedure owner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01/03/2025</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Director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 Bramall</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Managing Director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01/03/2025</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Construction (Design and Management) Regulations 2015, regulations 4, 8 and 15 — legislation.gov.uk/uksi/2015/51/regulation/8</w:t>
      </w:r>
    </w:p>
    <w:p>
      <w:pPr>
        <w:spacing w:after="80"/>
      </w:pPr>
      <w:r>
        <w:rPr>
          <w:rFonts w:ascii="Arial" w:cs="Arial" w:eastAsia="Arial" w:hAnsi="Arial"/>
          <w:i w:val="false"/>
          <w:iCs w:val="false"/>
          <w:color w:val="5A6069"/>
          <w:sz w:val="19"/>
          <w:szCs w:val="19"/>
        </w:rPr>
        <w:t xml:space="preserve">HSE, "Employers’ Liability (Compulsory Insurance) Act 1969: a guide for employers" (HSE40) — hse.gov.uk/pubns/hse40.pdf</w:t>
      </w:r>
    </w:p>
    <w:p>
      <w:pPr>
        <w:spacing w:after="80"/>
      </w:pPr>
      <w:r>
        <w:rPr>
          <w:rFonts w:ascii="Arial" w:cs="Arial" w:eastAsia="Arial" w:hAnsi="Arial"/>
          <w:i w:val="false"/>
          <w:iCs w:val="false"/>
          <w:color w:val="5A6069"/>
          <w:sz w:val="19"/>
          <w:szCs w:val="19"/>
        </w:rPr>
        <w:t xml:space="preserve">Home Office, "Check a job applicant’s right to work" — gov.uk/check-job-applicant-right-to-work</w:t>
      </w:r>
    </w:p>
    <w:p>
      <w:pPr>
        <w:spacing w:after="80"/>
      </w:pPr>
      <w:r>
        <w:rPr>
          <w:rFonts w:ascii="Arial" w:cs="Arial" w:eastAsia="Arial" w:hAnsi="Arial"/>
          <w:i w:val="false"/>
          <w:iCs w:val="false"/>
          <w:color w:val="5A6069"/>
          <w:sz w:val="19"/>
          <w:szCs w:val="19"/>
        </w:rPr>
        <w:t xml:space="preserve">HMRC, "What you must do as a Construction Industry Scheme contractor" — gov.uk/what-you-must-do-as-a-cis-contractor</w:t>
      </w:r>
    </w:p>
    <w:p>
      <w:pPr>
        <w:spacing w:after="80"/>
      </w:pPr>
      <w:r>
        <w:rPr>
          <w:rFonts w:ascii="Arial" w:cs="Arial" w:eastAsia="Arial" w:hAnsi="Arial"/>
          <w:i w:val="false"/>
          <w:iCs w:val="false"/>
          <w:color w:val="5A6069"/>
          <w:sz w:val="19"/>
          <w:szCs w:val="19"/>
        </w:rPr>
        <w:t xml:space="preserve">HMRC, Construction Industry Scheme: a guide for contractors and subcontractors (CIS 340), paragraphs 3.2, 3.8 and 3.15 — gov.uk/government/publications/construction-industry-scheme-cis-340</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CDM 2015 · regulation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OF CONTRACTORS PROCEDURE</dc:title>
  <dc:creator>Site Samurai</dc:creator>
  <dc:description>How the business selects, appoints, inducts, monitors and reviews the contractors it engages. Adapt the responsibilities and timings to your own organisation before issuing it.</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