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SHORT FORM SUBCONTRACT AGREEMENT — SUPPLY AND FIX</w:t>
      </w:r>
    </w:p>
    <w:p>
      <w:pPr>
        <w:spacing w:after="60"/>
      </w:pPr>
      <w:r>
        <w:rPr>
          <w:rFonts w:ascii="Arial" w:cs="Arial" w:eastAsia="Arial" w:hAnsi="Arial"/>
          <w:b/>
          <w:bCs/>
          <w:color w:val="DC2626"/>
          <w:sz w:val="19"/>
          <w:szCs w:val="19"/>
        </w:rPr>
        <w:t xml:space="preserve">Short form · Supply and fix</w:t>
      </w:r>
    </w:p>
    <w:p>
      <w:pPr>
        <w:spacing w:after="80"/>
      </w:pPr>
      <w:r>
        <w:rPr>
          <w:rFonts w:ascii="Arial" w:cs="Arial" w:eastAsia="Arial" w:hAnsi="Arial"/>
          <w:color w:val="5A6069"/>
          <w:sz w:val="19"/>
          <w:szCs w:val="19"/>
        </w:rPr>
        <w:t xml:space="preserve">A short-form agreement for a single package of subcontract work. A starting point to adapt with your own advisers, not legal advice, and not a substitute for a standard form where the value or risk warrants one.</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KMD/2025/019</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agreement</w:t>
      </w:r>
    </w:p>
    <w:p>
      <w:pPr>
        <w:pStyle w:val="ListParagraph"/>
        <w:numPr>
          <w:ilvl w:val="0"/>
          <w:numId w:val="1"/>
        </w:numPr>
        <w:spacing w:after="50"/>
      </w:pPr>
      <w:r>
        <w:rPr>
          <w:rFonts w:ascii="Arial" w:cs="Arial" w:eastAsia="Arial" w:hAnsi="Arial"/>
          <w:sz w:val="19"/>
          <w:szCs w:val="19"/>
        </w:rPr>
        <w:t xml:space="preserve">Read it against the package in front of you before you issue it. A short-form agreement suits a single package of moderate value and risk; a large or design-heavy package wants a standard form.</w:t>
      </w:r>
    </w:p>
    <w:p>
      <w:pPr>
        <w:pStyle w:val="ListParagraph"/>
        <w:numPr>
          <w:ilvl w:val="0"/>
          <w:numId w:val="1"/>
        </w:numPr>
        <w:spacing w:after="50"/>
      </w:pPr>
      <w:r>
        <w:rPr>
          <w:rFonts w:ascii="Arial" w:cs="Arial" w:eastAsia="Arial" w:hAnsi="Arial"/>
          <w:sz w:val="19"/>
          <w:szCs w:val="19"/>
        </w:rPr>
        <w:t xml:space="preserve">Complete every shaded field. An agreement with the payment cycle left blank falls back to the Scheme for Construction Contracts, which is rarely what either party expected.</w:t>
      </w:r>
    </w:p>
    <w:p>
      <w:pPr>
        <w:pStyle w:val="ListParagraph"/>
        <w:numPr>
          <w:ilvl w:val="0"/>
          <w:numId w:val="1"/>
        </w:numPr>
        <w:spacing w:after="50"/>
      </w:pPr>
      <w:r>
        <w:rPr>
          <w:rFonts w:ascii="Arial" w:cs="Arial" w:eastAsia="Arial" w:hAnsi="Arial"/>
          <w:sz w:val="19"/>
          <w:szCs w:val="19"/>
        </w:rPr>
        <w:t xml:space="preserve">Attach the schedules. The scope, the programme, the rates and the insurance levels are what the agreement is actually about, and they are the six schedules at the back.</w:t>
      </w:r>
    </w:p>
    <w:p>
      <w:pPr>
        <w:pStyle w:val="ListParagraph"/>
        <w:numPr>
          <w:ilvl w:val="0"/>
          <w:numId w:val="1"/>
        </w:numPr>
        <w:spacing w:after="50"/>
      </w:pPr>
      <w:r>
        <w:rPr>
          <w:rFonts w:ascii="Arial" w:cs="Arial" w:eastAsia="Arial" w:hAnsi="Arial"/>
          <w:sz w:val="19"/>
          <w:szCs w:val="19"/>
        </w:rPr>
        <w:t xml:space="preserve">Have it checked. Nothing here is legal advice, and the clauses have not been drafted for your business or your project.</w:t>
      </w:r>
    </w:p>
    <w:p>
      <w:pPr>
        <w:pStyle w:val="ListParagraph"/>
        <w:numPr>
          <w:ilvl w:val="0"/>
          <w:numId w:val="1"/>
        </w:numPr>
        <w:spacing w:after="50"/>
      </w:pPr>
      <w:r>
        <w:rPr>
          <w:rFonts w:ascii="Arial" w:cs="Arial" w:eastAsia="Arial" w:hAnsi="Arial"/>
          <w:sz w:val="19"/>
          <w:szCs w:val="19"/>
        </w:rPr>
        <w:t xml:space="preserve">Issue it before the subcontractor starts. An agreement signed after the work is under way settles far less than one signed before it.</w:t>
      </w:r>
    </w:p>
    <w:p>
      <w:r>
        <w:br w:type="page"/>
      </w:r>
    </w:p>
    <w:p>
      <w:pPr>
        <w:pStyle w:val="Heading2"/>
        <w:spacing w:after="80" w:before="180"/>
      </w:pPr>
      <w:r>
        <w:rPr>
          <w:rFonts w:ascii="Arial" w:cs="Arial" w:eastAsia="Arial" w:hAnsi="Arial"/>
          <w:b/>
          <w:bCs/>
          <w:color w:val="DC2626"/>
          <w:sz w:val="22"/>
          <w:szCs w:val="22"/>
        </w:rPr>
        <w:t xml:space="preserve">DEFINITIONS</w:t>
      </w:r>
    </w:p>
    <w:p>
      <w:pPr>
        <w:spacing w:after="80"/>
      </w:pPr>
      <w:r>
        <w:rPr>
          <w:rFonts w:ascii="Arial" w:cs="Arial" w:eastAsia="Arial" w:hAnsi="Arial"/>
          <w:sz w:val="19"/>
          <w:szCs w:val="19"/>
        </w:rPr>
        <w:t xml:space="preserve">Contractor means the party named in clause 1 that engages the Subcontractor. Subcontractor means the party named in clause 1 that carries out the Subcontract Works. Order means the written subcontract order that incorporates this agreement. Subcontract Works means the work described in Schedule 1. Site means the project address named in clause 1.</w:t>
      </w:r>
    </w:p>
    <w:p>
      <w:pPr>
        <w:pStyle w:val="Heading2"/>
        <w:spacing w:after="80" w:before="180"/>
      </w:pPr>
      <w:r>
        <w:rPr>
          <w:rFonts w:ascii="Arial" w:cs="Arial" w:eastAsia="Arial" w:hAnsi="Arial"/>
          <w:b/>
          <w:bCs/>
          <w:color w:val="DC2626"/>
          <w:sz w:val="22"/>
          <w:szCs w:val="22"/>
        </w:rPr>
        <w:t xml:space="preserve">1. PARTIES AND PROJECT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 (name, registered number,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 07214883, Unit 4 Brackwell Business Park, Northfield NF2 8HL</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 (name, registered number,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 09482173, 17 Tannery Lane, Baldock SG7 6LP</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 and site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 Kingsmead Depot, Northfield Road, Kingsmead KM4 7QT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order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KMD/2025/019</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agreement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bl>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This agreement governs the </w:t>
      </w:r>
      <w:r>
        <w:rPr>
          <w:rFonts w:ascii="Arial" w:cs="Arial" w:eastAsia="Arial" w:hAnsi="Arial"/>
          <w:b/>
          <w:bCs/>
          <w:sz w:val="19"/>
          <w:szCs w:val="19"/>
        </w:rPr>
        <w:t xml:space="preserve">Subcontract Works</w:t>
      </w:r>
      <w:r>
        <w:rPr>
          <w:rFonts w:ascii="Arial" w:cs="Arial" w:eastAsia="Arial" w:hAnsi="Arial"/>
          <w:b w:val="false"/>
          <w:bCs w:val="false"/>
          <w:sz w:val="19"/>
          <w:szCs w:val="19"/>
        </w:rPr>
        <w:t xml:space="preserve"> described in Schedule 1 and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pStyle w:val="Heading2"/>
        <w:spacing w:after="80" w:before="180"/>
      </w:pPr>
      <w:r>
        <w:rPr>
          <w:rFonts w:ascii="Arial" w:cs="Arial" w:eastAsia="Arial" w:hAnsi="Arial"/>
          <w:b/>
          <w:bCs/>
          <w:color w:val="DC2626"/>
          <w:sz w:val="22"/>
          <w:szCs w:val="22"/>
        </w:rPr>
        <w:t xml:space="preserve">2. THE SUBCONTRACT WORKS</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and installs the materials and goods described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together with all labour, supervision, plant and consumables needed to complete them.</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responsible for both the goods supplied and the workmanship of their installation.</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Materials must meet the specification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Substitutions require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’s written approval before ordering.</w:t>
      </w:r>
    </w:p>
    <w:p>
      <w:pPr>
        <w:spacing w:after="100"/>
        <w:ind w:left="560" w:hanging="560"/>
      </w:pPr>
      <w:r>
        <w:rPr>
          <w:rFonts w:ascii="Arial" w:cs="Arial" w:eastAsia="Arial" w:hAnsi="Arial"/>
          <w:b/>
          <w:bCs/>
          <w:sz w:val="19"/>
          <w:szCs w:val="19"/>
        </w:rPr>
        <w:t xml:space="preserve">2.4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product data, warranties, test certificates and any required safety data sheets before installation.</w:t>
      </w:r>
    </w:p>
    <w:p>
      <w:pPr>
        <w:pStyle w:val="Heading2"/>
        <w:spacing w:after="80" w:before="180"/>
      </w:pPr>
      <w:r>
        <w:rPr>
          <w:rFonts w:ascii="Arial" w:cs="Arial" w:eastAsia="Arial" w:hAnsi="Arial"/>
          <w:b/>
          <w:bCs/>
          <w:color w:val="DC2626"/>
          <w:sz w:val="22"/>
          <w:szCs w:val="22"/>
        </w:rPr>
        <w:t xml:space="preserve">3. DOCUMENTS AND PRECEDENCE</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This agreement,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the scope and specification, and the health and safety documents form the subcontract.</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Where they conflict they take precedence in that order,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terms of trading do not apply, whether or not they are referred to in a quotation, an acknowledgement or an invoice.</w:t>
      </w:r>
    </w:p>
    <w:p>
      <w:pPr>
        <w:pStyle w:val="Heading2"/>
        <w:spacing w:after="80" w:before="180"/>
      </w:pPr>
      <w:r>
        <w:rPr>
          <w:rFonts w:ascii="Arial" w:cs="Arial" w:eastAsia="Arial" w:hAnsi="Arial"/>
          <w:b/>
          <w:bCs/>
          <w:color w:val="DC2626"/>
          <w:sz w:val="22"/>
          <w:szCs w:val="22"/>
        </w:rPr>
        <w:t xml:space="preserve">4. PERIOD AND PROGRAMME</w:t>
      </w:r>
    </w:p>
    <w:p>
      <w:pPr>
        <w:spacing w:after="100"/>
        <w:ind w:left="560" w:hanging="560"/>
      </w:pPr>
      <w:r>
        <w:rPr>
          <w:rFonts w:ascii="Arial" w:cs="Arial" w:eastAsia="Arial" w:hAnsi="Arial"/>
          <w:b/>
          <w:bCs/>
          <w:sz w:val="19"/>
          <w:szCs w:val="19"/>
        </w:rPr>
        <w:t xml:space="preserve">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starts and completes within the period stated in Schedule 2 and works to the programme referred to there.</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give written notice as soon as it becomes aware of anything likely to delay completion.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the access and working hours stated in Schedule 2. A change to either is an instruction under clause 7.</w:t>
      </w:r>
    </w:p>
    <w:p>
      <w:pPr>
        <w:pStyle w:val="Heading2"/>
        <w:spacing w:after="80" w:before="180"/>
      </w:pPr>
      <w:r>
        <w:rPr>
          <w:rFonts w:ascii="Arial" w:cs="Arial" w:eastAsia="Arial" w:hAnsi="Arial"/>
          <w:b/>
          <w:bCs/>
          <w:color w:val="DC2626"/>
          <w:sz w:val="22"/>
          <w:szCs w:val="22"/>
        </w:rPr>
        <w:t xml:space="preserve">5. PRICE AND PAYMENT</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The subcontract sum, the payment cycle and the retention percentage are those stated in Schedule 3.</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Payment operates under Part II of the Housing Grants, Construction and Regeneration Act 1996.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a payment notice not later than five days after each payment due date, stating the sum it considers due and the basis of calculation.</w:t>
      </w:r>
    </w:p>
    <w:p>
      <w:pPr>
        <w:spacing w:after="100"/>
        <w:ind w:left="560" w:hanging="560"/>
      </w:pPr>
      <w:r>
        <w:rPr>
          <w:rFonts w:ascii="Arial" w:cs="Arial" w:eastAsia="Arial" w:hAnsi="Arial"/>
          <w:b/>
          <w:bCs/>
          <w:sz w:val="19"/>
          <w:szCs w:val="19"/>
        </w:rPr>
        <w:t xml:space="preserve">5.3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intends to pay less than the notified sum it must give a pay less notice before the deadline stated in Schedule 3, setting out the sum it considers due and the basis on which that sum is calculated.</w:t>
      </w:r>
    </w:p>
    <w:p>
      <w:pPr>
        <w:spacing w:after="100"/>
        <w:ind w:left="560" w:hanging="560"/>
      </w:pPr>
      <w:r>
        <w:rPr>
          <w:rFonts w:ascii="Arial" w:cs="Arial" w:eastAsia="Arial" w:hAnsi="Arial"/>
          <w:b/>
          <w:bCs/>
          <w:sz w:val="19"/>
          <w:szCs w:val="19"/>
        </w:rPr>
        <w:t xml:space="preserve">5.4  </w:t>
      </w:r>
      <w:r>
        <w:rPr>
          <w:rFonts w:ascii="Arial" w:cs="Arial" w:eastAsia="Arial" w:hAnsi="Arial"/>
          <w:b w:val="false"/>
          <w:bCs w:val="false"/>
          <w:sz w:val="19"/>
          <w:szCs w:val="19"/>
        </w:rPr>
        <w:t xml:space="preserve">Where this agreement fails to provide a compliant mechanism, the Scheme for Construction Contracts applies: payment falls due seven days after the end of the relevant period or the making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claim, the final date for payment is seventeen days after the due date, the payment notice is due within five days of the due date, and a pay less notice must be given not later than seven days before the final date for payment.</w:t>
      </w:r>
    </w:p>
    <w:p>
      <w:pPr>
        <w:spacing w:after="100"/>
        <w:ind w:left="560" w:hanging="560"/>
      </w:pPr>
      <w:r>
        <w:rPr>
          <w:rFonts w:ascii="Arial" w:cs="Arial" w:eastAsia="Arial" w:hAnsi="Arial"/>
          <w:b/>
          <w:bCs/>
          <w:sz w:val="19"/>
          <w:szCs w:val="19"/>
        </w:rPr>
        <w:t xml:space="preserve">5.5  </w:t>
      </w:r>
      <w:r>
        <w:rPr>
          <w:rFonts w:ascii="Arial" w:cs="Arial" w:eastAsia="Arial" w:hAnsi="Arial"/>
          <w:b w:val="false"/>
          <w:bCs w:val="false"/>
          <w:sz w:val="19"/>
          <w:szCs w:val="19"/>
        </w:rPr>
        <w:t xml:space="preserve">No payment under this agreement is conditional on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being paid under any other contract, whether for retention, for the release of retention, or for any other sum, as section 113 of the Housing Grants, Construction and Regeneration Act 1996 requires.</w:t>
      </w:r>
    </w:p>
    <w:p>
      <w:pPr>
        <w:pStyle w:val="Heading2"/>
        <w:spacing w:after="80" w:before="180"/>
      </w:pPr>
      <w:r>
        <w:rPr>
          <w:rFonts w:ascii="Arial" w:cs="Arial" w:eastAsia="Arial" w:hAnsi="Arial"/>
          <w:b/>
          <w:bCs/>
          <w:color w:val="DC2626"/>
          <w:sz w:val="22"/>
          <w:szCs w:val="22"/>
        </w:rPr>
        <w:t xml:space="preserve">6. SUSPENSION FOR NON-PAYMENT</w:t>
      </w:r>
    </w:p>
    <w:p>
      <w:pPr>
        <w:spacing w:after="100"/>
        <w:ind w:left="560" w:hanging="560"/>
      </w:pPr>
      <w:r>
        <w:rPr>
          <w:rFonts w:ascii="Arial" w:cs="Arial" w:eastAsia="Arial" w:hAnsi="Arial"/>
          <w:b/>
          <w:bCs/>
          <w:sz w:val="19"/>
          <w:szCs w:val="19"/>
        </w:rPr>
        <w:t xml:space="preserve">6.1  </w:t>
      </w:r>
      <w:r>
        <w:rPr>
          <w:rFonts w:ascii="Arial" w:cs="Arial" w:eastAsia="Arial" w:hAnsi="Arial"/>
          <w:b w:val="false"/>
          <w:bCs w:val="false"/>
          <w:sz w:val="19"/>
          <w:szCs w:val="19"/>
        </w:rPr>
        <w:t xml:space="preserve">Where a notified sum is not paid in full by the final date for payment,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suspend performance of any or all of its obligations under this agreement, under section 112 of the Housing Grants, Construction and Regeneration Act 1996.</w:t>
      </w:r>
    </w:p>
    <w:p>
      <w:pPr>
        <w:spacing w:after="100"/>
        <w:ind w:left="560" w:hanging="560"/>
      </w:pPr>
      <w:r>
        <w:rPr>
          <w:rFonts w:ascii="Arial" w:cs="Arial" w:eastAsia="Arial" w:hAnsi="Arial"/>
          <w:b/>
          <w:bCs/>
          <w:sz w:val="19"/>
          <w:szCs w:val="19"/>
        </w:rPr>
        <w:t xml:space="preserve">6.2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first give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least seven days’ written notice of its intention to suspend, stating the ground on which it intends to do so. The right ends when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pays the sum in full.</w:t>
      </w:r>
    </w:p>
    <w:p>
      <w:pPr>
        <w:spacing w:after="100"/>
        <w:ind w:left="560" w:hanging="560"/>
      </w:pPr>
      <w:r>
        <w:rPr>
          <w:rFonts w:ascii="Arial" w:cs="Arial" w:eastAsia="Arial" w:hAnsi="Arial"/>
          <w:b/>
          <w:bCs/>
          <w:sz w:val="19"/>
          <w:szCs w:val="19"/>
        </w:rPr>
        <w:t xml:space="preserve">6.3  </w:t>
      </w:r>
      <w:r>
        <w:rPr>
          <w:rFonts w:ascii="Arial" w:cs="Arial" w:eastAsia="Arial" w:hAnsi="Arial"/>
          <w:b w:val="false"/>
          <w:bCs w:val="false"/>
          <w:sz w:val="19"/>
          <w:szCs w:val="19"/>
        </w:rPr>
        <w:t xml:space="preserve">A period of suspension exercised under this clause is not a breach by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The time taken is added to the period for completion,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entitled to a reasonable amount for costs and expenses reasonably incurred as a result of the suspension.</w:t>
      </w:r>
    </w:p>
    <w:p>
      <w:pPr>
        <w:pStyle w:val="Heading2"/>
        <w:spacing w:after="80" w:before="180"/>
      </w:pPr>
      <w:r>
        <w:rPr>
          <w:rFonts w:ascii="Arial" w:cs="Arial" w:eastAsia="Arial" w:hAnsi="Arial"/>
          <w:b/>
          <w:bCs/>
          <w:color w:val="DC2626"/>
          <w:sz w:val="22"/>
          <w:szCs w:val="22"/>
        </w:rPr>
        <w:t xml:space="preserve">7. VARIATIONS</w:t>
      </w:r>
    </w:p>
    <w:p>
      <w:pPr>
        <w:spacing w:after="100"/>
        <w:ind w:left="560" w:hanging="560"/>
      </w:pPr>
      <w:r>
        <w:rPr>
          <w:rFonts w:ascii="Arial" w:cs="Arial" w:eastAsia="Arial" w:hAnsi="Arial"/>
          <w:b/>
          <w:bCs/>
          <w:sz w:val="19"/>
          <w:szCs w:val="19"/>
        </w:rPr>
        <w:t xml:space="preserve">7.1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instruct changes in writing.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 act on a verbal instruction without written confirmation.</w:t>
      </w:r>
    </w:p>
    <w:p>
      <w:pPr>
        <w:spacing w:after="100"/>
        <w:ind w:left="560" w:hanging="560"/>
      </w:pPr>
      <w:r>
        <w:rPr>
          <w:rFonts w:ascii="Arial" w:cs="Arial" w:eastAsia="Arial" w:hAnsi="Arial"/>
          <w:b/>
          <w:bCs/>
          <w:sz w:val="19"/>
          <w:szCs w:val="19"/>
        </w:rPr>
        <w:t xml:space="preserve">7.2  </w:t>
      </w:r>
      <w:r>
        <w:rPr>
          <w:rFonts w:ascii="Arial" w:cs="Arial" w:eastAsia="Arial" w:hAnsi="Arial"/>
          <w:b w:val="false"/>
          <w:bCs w:val="false"/>
          <w:sz w:val="19"/>
          <w:szCs w:val="19"/>
        </w:rPr>
        <w:t xml:space="preserve">Variations are valued at the rates in Schedule 6 where they apply, and otherwise at fair rates agreed before the work starts.</w:t>
      </w:r>
    </w:p>
    <w:p>
      <w:pPr>
        <w:spacing w:after="100"/>
        <w:ind w:left="560" w:hanging="560"/>
      </w:pPr>
      <w:r>
        <w:rPr>
          <w:rFonts w:ascii="Arial" w:cs="Arial" w:eastAsia="Arial" w:hAnsi="Arial"/>
          <w:b/>
          <w:bCs/>
          <w:sz w:val="19"/>
          <w:szCs w:val="19"/>
        </w:rPr>
        <w:t xml:space="preserve">7.3  </w:t>
      </w:r>
      <w:r>
        <w:rPr>
          <w:rFonts w:ascii="Arial" w:cs="Arial" w:eastAsia="Arial" w:hAnsi="Arial"/>
          <w:b w:val="false"/>
          <w:bCs w:val="false"/>
          <w:sz w:val="19"/>
          <w:szCs w:val="19"/>
        </w:rPr>
        <w:t xml:space="preserve">Work that cannot be measured is recorded on daywork sheets signed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on the day the work is done.</w:t>
      </w:r>
    </w:p>
    <w:p>
      <w:pPr>
        <w:pStyle w:val="Heading2"/>
        <w:spacing w:after="80" w:before="180"/>
      </w:pPr>
      <w:r>
        <w:rPr>
          <w:rFonts w:ascii="Arial" w:cs="Arial" w:eastAsia="Arial" w:hAnsi="Arial"/>
          <w:b/>
          <w:bCs/>
          <w:color w:val="DC2626"/>
          <w:sz w:val="22"/>
          <w:szCs w:val="22"/>
        </w:rPr>
        <w:t xml:space="preserve">8. CIS AND TAX STATUS</w:t>
      </w:r>
    </w:p>
    <w:p>
      <w:pPr>
        <w:spacing w:after="100"/>
        <w:ind w:left="560" w:hanging="560"/>
      </w:pPr>
      <w:r>
        <w:rPr>
          <w:rFonts w:ascii="Arial" w:cs="Arial" w:eastAsia="Arial" w:hAnsi="Arial"/>
          <w:b/>
          <w:bCs/>
          <w:sz w:val="19"/>
          <w:szCs w:val="19"/>
        </w:rPr>
        <w:t xml:space="preserve">8.1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confirms its Construction Industry Scheme registration status and provides its unique taxpayer reference before the first payment.</w:t>
      </w:r>
    </w:p>
    <w:p>
      <w:pPr>
        <w:spacing w:after="100"/>
        <w:ind w:left="560" w:hanging="560"/>
      </w:pPr>
      <w:r>
        <w:rPr>
          <w:rFonts w:ascii="Arial" w:cs="Arial" w:eastAsia="Arial" w:hAnsi="Arial"/>
          <w:b/>
          <w:bCs/>
          <w:sz w:val="19"/>
          <w:szCs w:val="19"/>
        </w:rPr>
        <w:t xml:space="preserve">8.2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verifies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with HMRC and deducts at 0%, 20% or 30% according to the status HMRC returns.</w:t>
      </w:r>
    </w:p>
    <w:p>
      <w:pPr>
        <w:spacing w:after="100"/>
        <w:ind w:left="560" w:hanging="560"/>
      </w:pPr>
      <w:r>
        <w:rPr>
          <w:rFonts w:ascii="Arial" w:cs="Arial" w:eastAsia="Arial" w:hAnsi="Arial"/>
          <w:b/>
          <w:bCs/>
          <w:sz w:val="19"/>
          <w:szCs w:val="19"/>
        </w:rPr>
        <w:t xml:space="preserve">8.3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issues a written payment and deduction statement within fourteen days of the end of each tax month in which a deduction is made.</w:t>
      </w:r>
    </w:p>
    <w:p>
      <w:pPr>
        <w:spacing w:after="100"/>
        <w:ind w:left="560" w:hanging="560"/>
      </w:pPr>
      <w:r>
        <w:rPr>
          <w:rFonts w:ascii="Arial" w:cs="Arial" w:eastAsia="Arial" w:hAnsi="Arial"/>
          <w:b/>
          <w:bCs/>
          <w:sz w:val="19"/>
          <w:szCs w:val="19"/>
        </w:rPr>
        <w:t xml:space="preserve">8.4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notify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 writing of any change to its CIS status or business structure.</w:t>
      </w:r>
    </w:p>
    <w:p>
      <w:pPr>
        <w:spacing w:after="100"/>
        <w:ind w:left="560" w:hanging="560"/>
      </w:pPr>
      <w:r>
        <w:rPr>
          <w:rFonts w:ascii="Arial" w:cs="Arial" w:eastAsia="Arial" w:hAnsi="Arial"/>
          <w:b/>
          <w:bCs/>
          <w:sz w:val="19"/>
          <w:szCs w:val="19"/>
        </w:rPr>
        <w:t xml:space="preserve">8.5  </w:t>
      </w:r>
      <w:r>
        <w:rPr>
          <w:rFonts w:ascii="Arial" w:cs="Arial" w:eastAsia="Arial" w:hAnsi="Arial"/>
          <w:b w:val="false"/>
          <w:bCs w:val="false"/>
          <w:sz w:val="19"/>
          <w:szCs w:val="19"/>
        </w:rPr>
        <w:t xml:space="preserve">Each party is responsible for determining whether the VAT domestic reverse charge applies to payments under this agreement, and for its own VAT accounting.</w:t>
      </w:r>
    </w:p>
    <w:p>
      <w:pPr>
        <w:spacing w:after="100"/>
        <w:ind w:left="560" w:hanging="560"/>
      </w:pPr>
      <w:r>
        <w:rPr>
          <w:rFonts w:ascii="Arial" w:cs="Arial" w:eastAsia="Arial" w:hAnsi="Arial"/>
          <w:b/>
          <w:bCs/>
          <w:sz w:val="19"/>
          <w:szCs w:val="19"/>
        </w:rPr>
        <w:t xml:space="preserve">8.6  </w:t>
      </w:r>
      <w:r>
        <w:rPr>
          <w:rFonts w:ascii="Arial" w:cs="Arial" w:eastAsia="Arial" w:hAnsi="Arial"/>
          <w:b w:val="false"/>
          <w:bCs w:val="false"/>
          <w:sz w:val="19"/>
          <w:szCs w:val="19"/>
        </w:rPr>
        <w:t xml:space="preserve">The CIS deduction applies to the labour element only.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takes the direct cost of materials, consumable stores, plant hire and manufactured or prefabricated items off the payment before applying the rate.</w:t>
      </w:r>
    </w:p>
    <w:p>
      <w:pPr>
        <w:spacing w:after="100"/>
        <w:ind w:left="560" w:hanging="560"/>
      </w:pPr>
      <w:r>
        <w:rPr>
          <w:rFonts w:ascii="Arial" w:cs="Arial" w:eastAsia="Arial" w:hAnsi="Arial"/>
          <w:b/>
          <w:bCs/>
          <w:sz w:val="19"/>
          <w:szCs w:val="19"/>
        </w:rPr>
        <w:t xml:space="preserve">8.7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states the cost of materials, exclusive of VAT, on every application and invoice, and the figure must be the cost actually paid or payable — not a rate that includes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mark-up.</w:t>
      </w:r>
    </w:p>
    <w:p>
      <w:pPr>
        <w:spacing w:after="100"/>
        <w:ind w:left="560" w:hanging="560"/>
      </w:pPr>
      <w:r>
        <w:rPr>
          <w:rFonts w:ascii="Arial" w:cs="Arial" w:eastAsia="Arial" w:hAnsi="Arial"/>
          <w:b/>
          <w:bCs/>
          <w:sz w:val="19"/>
          <w:szCs w:val="19"/>
        </w:rPr>
        <w:t xml:space="preserve">8.8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ask for invoices or other evidence of the materials cost before making a payment, and may apply the deduction to the whole payment 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does not supply it.</w:t>
      </w:r>
    </w:p>
    <w:p>
      <w:pPr>
        <w:pStyle w:val="Heading2"/>
        <w:spacing w:after="80" w:before="180"/>
      </w:pPr>
      <w:r>
        <w:rPr>
          <w:rFonts w:ascii="Arial" w:cs="Arial" w:eastAsia="Arial" w:hAnsi="Arial"/>
          <w:b/>
          <w:bCs/>
          <w:color w:val="DC2626"/>
          <w:sz w:val="22"/>
          <w:szCs w:val="22"/>
        </w:rPr>
        <w:t xml:space="preserve">9. INSURANCE</w:t>
      </w:r>
    </w:p>
    <w:p>
      <w:pPr>
        <w:spacing w:after="100"/>
        <w:ind w:left="560" w:hanging="560"/>
      </w:pPr>
      <w:r>
        <w:rPr>
          <w:rFonts w:ascii="Arial" w:cs="Arial" w:eastAsia="Arial" w:hAnsi="Arial"/>
          <w:b/>
          <w:bCs/>
          <w:sz w:val="19"/>
          <w:szCs w:val="19"/>
        </w:rPr>
        <w:t xml:space="preserve">9.1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employers’ liability insurance of at least £5 million where it has employees, as the Employers’ Liability (Compulsory Insurance) Act 1969 requires.</w:t>
      </w:r>
    </w:p>
    <w:p>
      <w:pPr>
        <w:spacing w:after="100"/>
        <w:ind w:left="560" w:hanging="560"/>
      </w:pPr>
      <w:r>
        <w:rPr>
          <w:rFonts w:ascii="Arial" w:cs="Arial" w:eastAsia="Arial" w:hAnsi="Arial"/>
          <w:b/>
          <w:bCs/>
          <w:sz w:val="19"/>
          <w:szCs w:val="19"/>
        </w:rPr>
        <w:t xml:space="preserve">9.2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public liability insurance for not less than the sum stated in Schedule 5. Public liability cover is a contractual requirement here, not a statutory one.</w:t>
      </w:r>
    </w:p>
    <w:p>
      <w:pPr>
        <w:spacing w:after="100"/>
        <w:ind w:left="560" w:hanging="560"/>
      </w:pPr>
      <w:r>
        <w:rPr>
          <w:rFonts w:ascii="Arial" w:cs="Arial" w:eastAsia="Arial" w:hAnsi="Arial"/>
          <w:b/>
          <w:bCs/>
          <w:sz w:val="19"/>
          <w:szCs w:val="19"/>
        </w:rPr>
        <w:t xml:space="preserve">9.3  </w:t>
      </w:r>
      <w:r>
        <w:rPr>
          <w:rFonts w:ascii="Arial" w:cs="Arial" w:eastAsia="Arial" w:hAnsi="Arial"/>
          <w:b w:val="false"/>
          <w:bCs w:val="false"/>
          <w:sz w:val="19"/>
          <w:szCs w:val="19"/>
        </w:rPr>
        <w:t xml:space="preserve">Certificates must be provided before starting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on each renewal during the subcontract period.</w:t>
      </w:r>
    </w:p>
    <w:p>
      <w:pPr>
        <w:pStyle w:val="Heading2"/>
        <w:spacing w:after="80" w:before="180"/>
      </w:pPr>
      <w:r>
        <w:rPr>
          <w:rFonts w:ascii="Arial" w:cs="Arial" w:eastAsia="Arial" w:hAnsi="Arial"/>
          <w:b/>
          <w:bCs/>
          <w:color w:val="DC2626"/>
          <w:sz w:val="22"/>
          <w:szCs w:val="22"/>
        </w:rPr>
        <w:t xml:space="preserve">10. HEALTH AND SAFETY</w:t>
      </w:r>
    </w:p>
    <w:p>
      <w:pPr>
        <w:spacing w:after="100"/>
        <w:ind w:left="560" w:hanging="560"/>
      </w:pPr>
      <w:r>
        <w:rPr>
          <w:rFonts w:ascii="Arial" w:cs="Arial" w:eastAsia="Arial" w:hAnsi="Arial"/>
          <w:b/>
          <w:bCs/>
          <w:sz w:val="19"/>
          <w:szCs w:val="19"/>
        </w:rPr>
        <w:t xml:space="preserve">10.1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complies with the Construction (Design and Management) Regulations 2015 and with the construction phase plan and site rules in Schedule 4.</w:t>
      </w:r>
    </w:p>
    <w:p>
      <w:pPr>
        <w:spacing w:after="100"/>
        <w:ind w:left="560" w:hanging="560"/>
      </w:pPr>
      <w:r>
        <w:rPr>
          <w:rFonts w:ascii="Arial" w:cs="Arial" w:eastAsia="Arial" w:hAnsi="Arial"/>
          <w:b/>
          <w:bCs/>
          <w:sz w:val="19"/>
          <w:szCs w:val="19"/>
        </w:rPr>
        <w:t xml:space="preserve">10.2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task-specific risk assessments and method statements before the relevant work starts, and briefs its operatives on them.</w:t>
      </w:r>
    </w:p>
    <w:p>
      <w:pPr>
        <w:spacing w:after="100"/>
        <w:ind w:left="560" w:hanging="560"/>
      </w:pPr>
      <w:r>
        <w:rPr>
          <w:rFonts w:ascii="Arial" w:cs="Arial" w:eastAsia="Arial" w:hAnsi="Arial"/>
          <w:b/>
          <w:bCs/>
          <w:sz w:val="19"/>
          <w:szCs w:val="19"/>
        </w:rPr>
        <w:t xml:space="preserve">10.3  </w:t>
      </w:r>
      <w:r>
        <w:rPr>
          <w:rFonts w:ascii="Arial" w:cs="Arial" w:eastAsia="Arial" w:hAnsi="Arial"/>
          <w:b w:val="false"/>
          <w:bCs w:val="false"/>
          <w:sz w:val="19"/>
          <w:szCs w:val="19"/>
        </w:rPr>
        <w:t xml:space="preserve">Under regulation 8 of those Regulations a contractor must have the skills, knowledge and experience — and, if an organisation, the organisational capability — for the role it is appointed to, and must not accept an appointment otherwise.</w:t>
      </w:r>
    </w:p>
    <w:p>
      <w:pPr>
        <w:spacing w:after="100"/>
        <w:ind w:left="560" w:hanging="560"/>
      </w:pPr>
      <w:r>
        <w:rPr>
          <w:rFonts w:ascii="Arial" w:cs="Arial" w:eastAsia="Arial" w:hAnsi="Arial"/>
          <w:b/>
          <w:bCs/>
          <w:sz w:val="19"/>
          <w:szCs w:val="19"/>
        </w:rPr>
        <w:t xml:space="preserve">10.4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reports accidents, near misses and dangerous occurrences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the same day.</w:t>
      </w:r>
    </w:p>
    <w:p>
      <w:pPr>
        <w:pStyle w:val="Heading2"/>
        <w:spacing w:after="80" w:before="180"/>
      </w:pPr>
      <w:r>
        <w:rPr>
          <w:rFonts w:ascii="Arial" w:cs="Arial" w:eastAsia="Arial" w:hAnsi="Arial"/>
          <w:b/>
          <w:bCs/>
          <w:color w:val="DC2626"/>
          <w:sz w:val="22"/>
          <w:szCs w:val="22"/>
        </w:rPr>
        <w:t xml:space="preserve">11. PEOPLE ON SITE</w:t>
      </w:r>
    </w:p>
    <w:p>
      <w:pPr>
        <w:spacing w:after="100"/>
        <w:ind w:left="560" w:hanging="560"/>
      </w:pPr>
      <w:r>
        <w:rPr>
          <w:rFonts w:ascii="Arial" w:cs="Arial" w:eastAsia="Arial" w:hAnsi="Arial"/>
          <w:b/>
          <w:bCs/>
          <w:sz w:val="19"/>
          <w:szCs w:val="19"/>
        </w:rPr>
        <w:t xml:space="preserve">11.1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carries out a right to work check on every person it sends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before they start, and keeps a dated record of it.</w:t>
      </w:r>
    </w:p>
    <w:p>
      <w:pPr>
        <w:spacing w:after="100"/>
        <w:ind w:left="560" w:hanging="560"/>
      </w:pPr>
      <w:r>
        <w:rPr>
          <w:rFonts w:ascii="Arial" w:cs="Arial" w:eastAsia="Arial" w:hAnsi="Arial"/>
          <w:b/>
          <w:bCs/>
          <w:sz w:val="19"/>
          <w:szCs w:val="19"/>
        </w:rPr>
        <w:t xml:space="preserve">11.2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the competence and training evidence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Where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a CSCS card, that is a site access requirement set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rather than a legal one.</w:t>
      </w:r>
    </w:p>
    <w:p>
      <w:pPr>
        <w:spacing w:after="100"/>
        <w:ind w:left="560" w:hanging="560"/>
      </w:pPr>
      <w:r>
        <w:rPr>
          <w:rFonts w:ascii="Arial" w:cs="Arial" w:eastAsia="Arial" w:hAnsi="Arial"/>
          <w:b/>
          <w:bCs/>
          <w:sz w:val="19"/>
          <w:szCs w:val="19"/>
        </w:rPr>
        <w:t xml:space="preserve">11.3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refuse access to any person who cannot produce the required evidence.</w:t>
      </w:r>
    </w:p>
    <w:p>
      <w:pPr>
        <w:pStyle w:val="Heading2"/>
        <w:spacing w:after="80" w:before="180"/>
      </w:pPr>
      <w:r>
        <w:rPr>
          <w:rFonts w:ascii="Arial" w:cs="Arial" w:eastAsia="Arial" w:hAnsi="Arial"/>
          <w:b/>
          <w:bCs/>
          <w:color w:val="DC2626"/>
          <w:sz w:val="22"/>
          <w:szCs w:val="22"/>
        </w:rPr>
        <w:t xml:space="preserve">12. MATERIALS, TITLE AND RISK</w:t>
      </w:r>
    </w:p>
    <w:p>
      <w:pPr>
        <w:spacing w:after="100"/>
        <w:ind w:left="560" w:hanging="560"/>
      </w:pPr>
      <w:r>
        <w:rPr>
          <w:rFonts w:ascii="Arial" w:cs="Arial" w:eastAsia="Arial" w:hAnsi="Arial"/>
          <w:b/>
          <w:bCs/>
          <w:sz w:val="19"/>
          <w:szCs w:val="19"/>
        </w:rPr>
        <w:t xml:space="preserve">12.1  </w:t>
      </w:r>
      <w:r>
        <w:rPr>
          <w:rFonts w:ascii="Arial" w:cs="Arial" w:eastAsia="Arial" w:hAnsi="Arial"/>
          <w:b w:val="false"/>
          <w:bCs w:val="false"/>
          <w:sz w:val="19"/>
          <w:szCs w:val="19"/>
        </w:rPr>
        <w:t xml:space="preserve">Title in materials passes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on the earlier of delivery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payment for them,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warrants it has good title to pass.</w:t>
      </w:r>
    </w:p>
    <w:p>
      <w:pPr>
        <w:spacing w:after="100"/>
        <w:ind w:left="560" w:hanging="560"/>
      </w:pPr>
      <w:r>
        <w:rPr>
          <w:rFonts w:ascii="Arial" w:cs="Arial" w:eastAsia="Arial" w:hAnsi="Arial"/>
          <w:b/>
          <w:bCs/>
          <w:sz w:val="19"/>
          <w:szCs w:val="19"/>
        </w:rPr>
        <w:t xml:space="preserve">12.2  </w:t>
      </w:r>
      <w:r>
        <w:rPr>
          <w:rFonts w:ascii="Arial" w:cs="Arial" w:eastAsia="Arial" w:hAnsi="Arial"/>
          <w:b w:val="false"/>
          <w:bCs w:val="false"/>
          <w:sz w:val="19"/>
          <w:szCs w:val="19"/>
        </w:rPr>
        <w:t xml:space="preserve">Risk in materials remains with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until they are installed and accepted,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12.3  </w:t>
      </w:r>
      <w:r>
        <w:rPr>
          <w:rFonts w:ascii="Arial" w:cs="Arial" w:eastAsia="Arial" w:hAnsi="Arial"/>
          <w:b w:val="false"/>
          <w:bCs w:val="false"/>
          <w:sz w:val="19"/>
          <w:szCs w:val="19"/>
        </w:rPr>
        <w:t xml:space="preserve">Materials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are only valued in a payment application where the contract allows it, and usually only where they are properly stored, identified and insured.</w:t>
      </w:r>
    </w:p>
    <w:p>
      <w:pPr>
        <w:pStyle w:val="Heading2"/>
        <w:spacing w:after="80" w:before="180"/>
      </w:pPr>
      <w:r>
        <w:rPr>
          <w:rFonts w:ascii="Arial" w:cs="Arial" w:eastAsia="Arial" w:hAnsi="Arial"/>
          <w:b/>
          <w:bCs/>
          <w:color w:val="DC2626"/>
          <w:sz w:val="22"/>
          <w:szCs w:val="22"/>
        </w:rPr>
        <w:t xml:space="preserve">13. INDEMNITY</w:t>
      </w:r>
    </w:p>
    <w:p>
      <w:pPr>
        <w:spacing w:after="100"/>
        <w:ind w:left="560" w:hanging="560"/>
      </w:pPr>
      <w:r>
        <w:rPr>
          <w:rFonts w:ascii="Arial" w:cs="Arial" w:eastAsia="Arial" w:hAnsi="Arial"/>
          <w:b/>
          <w:bCs/>
          <w:sz w:val="19"/>
          <w:szCs w:val="19"/>
        </w:rPr>
        <w:t xml:space="preserve">13.1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against claims, losses and expenses arising from death, personal injury or loss of or damage to property, to the extent caused by the negligence, breach of statutory duty or breach of this agreement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or anyone it is responsible for.</w:t>
      </w:r>
    </w:p>
    <w:p>
      <w:pPr>
        <w:spacing w:after="100"/>
        <w:ind w:left="560" w:hanging="560"/>
      </w:pPr>
      <w:r>
        <w:rPr>
          <w:rFonts w:ascii="Arial" w:cs="Arial" w:eastAsia="Arial" w:hAnsi="Arial"/>
          <w:b/>
          <w:bCs/>
          <w:sz w:val="19"/>
          <w:szCs w:val="19"/>
        </w:rPr>
        <w:t xml:space="preserve">13.2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on the same terms, to the extent caused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or anyone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responsible for.</w:t>
      </w:r>
    </w:p>
    <w:p>
      <w:pPr>
        <w:spacing w:after="100"/>
        <w:ind w:left="560" w:hanging="560"/>
      </w:pPr>
      <w:r>
        <w:rPr>
          <w:rFonts w:ascii="Arial" w:cs="Arial" w:eastAsia="Arial" w:hAnsi="Arial"/>
          <w:b/>
          <w:bCs/>
          <w:sz w:val="19"/>
          <w:szCs w:val="19"/>
        </w:rPr>
        <w:t xml:space="preserve">13.3  </w:t>
      </w:r>
      <w:r>
        <w:rPr>
          <w:rFonts w:ascii="Arial" w:cs="Arial" w:eastAsia="Arial" w:hAnsi="Arial"/>
          <w:b w:val="false"/>
          <w:bCs w:val="false"/>
          <w:sz w:val="19"/>
          <w:szCs w:val="19"/>
        </w:rPr>
        <w:t xml:space="preserve">Neither indemnity extends to loss caused by the other party, and neither limits any insurance either party is required to maintain under clause 9.</w:t>
      </w:r>
    </w:p>
    <w:p>
      <w:pPr>
        <w:pStyle w:val="Heading2"/>
        <w:spacing w:after="80" w:before="180"/>
      </w:pPr>
      <w:r>
        <w:rPr>
          <w:rFonts w:ascii="Arial" w:cs="Arial" w:eastAsia="Arial" w:hAnsi="Arial"/>
          <w:b/>
          <w:bCs/>
          <w:color w:val="DC2626"/>
          <w:sz w:val="22"/>
          <w:szCs w:val="22"/>
        </w:rPr>
        <w:t xml:space="preserve">14. DEFECTS</w:t>
      </w:r>
    </w:p>
    <w:p>
      <w:pPr>
        <w:spacing w:after="100"/>
        <w:ind w:left="560" w:hanging="560"/>
      </w:pPr>
      <w:r>
        <w:rPr>
          <w:rFonts w:ascii="Arial" w:cs="Arial" w:eastAsia="Arial" w:hAnsi="Arial"/>
          <w:b/>
          <w:bCs/>
          <w:sz w:val="19"/>
          <w:szCs w:val="19"/>
        </w:rPr>
        <w:t xml:space="preserve">14.1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makes good defects in its work notified within the rectification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at its own cost.</w:t>
      </w:r>
    </w:p>
    <w:p>
      <w:pPr>
        <w:spacing w:after="100"/>
        <w:ind w:left="560" w:hanging="560"/>
      </w:pPr>
      <w:r>
        <w:rPr>
          <w:rFonts w:ascii="Arial" w:cs="Arial" w:eastAsia="Arial" w:hAnsi="Arial"/>
          <w:b/>
          <w:bCs/>
          <w:sz w:val="19"/>
          <w:szCs w:val="19"/>
        </w:rPr>
        <w:t xml:space="preserve">14.2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fails to make good within a reasonable time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have the work done and recover the reasonable cost, having first given written notice.</w:t>
      </w:r>
    </w:p>
    <w:p>
      <w:pPr>
        <w:pStyle w:val="Heading2"/>
        <w:spacing w:after="80" w:before="180"/>
      </w:pPr>
      <w:r>
        <w:rPr>
          <w:rFonts w:ascii="Arial" w:cs="Arial" w:eastAsia="Arial" w:hAnsi="Arial"/>
          <w:b/>
          <w:bCs/>
          <w:color w:val="DC2626"/>
          <w:sz w:val="22"/>
          <w:szCs w:val="22"/>
        </w:rPr>
        <w:t xml:space="preserve">15. TERMINATION</w:t>
      </w:r>
    </w:p>
    <w:p>
      <w:pPr>
        <w:spacing w:after="100"/>
        <w:ind w:left="560" w:hanging="560"/>
      </w:pPr>
      <w:r>
        <w:rPr>
          <w:rFonts w:ascii="Arial" w:cs="Arial" w:eastAsia="Arial" w:hAnsi="Arial"/>
          <w:b/>
          <w:bCs/>
          <w:sz w:val="19"/>
          <w:szCs w:val="19"/>
        </w:rPr>
        <w:t xml:space="preserve">15.1  </w:t>
      </w:r>
      <w:r>
        <w:rPr>
          <w:rFonts w:ascii="Arial" w:cs="Arial" w:eastAsia="Arial" w:hAnsi="Arial"/>
          <w:b w:val="false"/>
          <w:bCs w:val="false"/>
          <w:sz w:val="19"/>
          <w:szCs w:val="19"/>
        </w:rPr>
        <w:t xml:space="preserve">Either party may terminate on written notice for a material breach that is not remedied within the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15.2  </w:t>
      </w:r>
      <w:r>
        <w:rPr>
          <w:rFonts w:ascii="Arial" w:cs="Arial" w:eastAsia="Arial" w:hAnsi="Arial"/>
          <w:b w:val="false"/>
          <w:bCs w:val="false"/>
          <w:sz w:val="19"/>
          <w:szCs w:val="19"/>
        </w:rPr>
        <w:t xml:space="preserve">On termination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paid for work properly executed up to termination, less any sums properly deducted.</w:t>
      </w:r>
    </w:p>
    <w:p>
      <w:pPr>
        <w:pStyle w:val="Heading2"/>
        <w:spacing w:after="80" w:before="180"/>
      </w:pPr>
      <w:r>
        <w:rPr>
          <w:rFonts w:ascii="Arial" w:cs="Arial" w:eastAsia="Arial" w:hAnsi="Arial"/>
          <w:b/>
          <w:bCs/>
          <w:color w:val="DC2626"/>
          <w:sz w:val="22"/>
          <w:szCs w:val="22"/>
        </w:rPr>
        <w:t xml:space="preserve">16. DISPUTES AND LAW</w:t>
      </w:r>
    </w:p>
    <w:p>
      <w:pPr>
        <w:spacing w:after="100"/>
        <w:ind w:left="560" w:hanging="560"/>
      </w:pPr>
      <w:r>
        <w:rPr>
          <w:rFonts w:ascii="Arial" w:cs="Arial" w:eastAsia="Arial" w:hAnsi="Arial"/>
          <w:b/>
          <w:bCs/>
          <w:sz w:val="19"/>
          <w:szCs w:val="19"/>
        </w:rPr>
        <w:t xml:space="preserve">16.1  </w:t>
      </w:r>
      <w:r>
        <w:rPr>
          <w:rFonts w:ascii="Arial" w:cs="Arial" w:eastAsia="Arial" w:hAnsi="Arial"/>
          <w:b w:val="false"/>
          <w:bCs w:val="false"/>
          <w:sz w:val="19"/>
          <w:szCs w:val="19"/>
        </w:rPr>
        <w:t xml:space="preserve">Either party may refer a dispute to adjudication at any time, in accordance with Part II of the Housing Grants, Construction and Regeneration Act 1996.</w:t>
      </w:r>
    </w:p>
    <w:p>
      <w:pPr>
        <w:spacing w:after="100"/>
        <w:ind w:left="560" w:hanging="560"/>
      </w:pPr>
      <w:r>
        <w:rPr>
          <w:rFonts w:ascii="Arial" w:cs="Arial" w:eastAsia="Arial" w:hAnsi="Arial"/>
          <w:b/>
          <w:bCs/>
          <w:sz w:val="19"/>
          <w:szCs w:val="19"/>
        </w:rPr>
        <w:t xml:space="preserve">16.2  </w:t>
      </w:r>
      <w:r>
        <w:rPr>
          <w:rFonts w:ascii="Arial" w:cs="Arial" w:eastAsia="Arial" w:hAnsi="Arial"/>
          <w:b w:val="false"/>
          <w:bCs w:val="false"/>
          <w:sz w:val="19"/>
          <w:szCs w:val="19"/>
        </w:rPr>
        <w:t xml:space="preserve">This agreement is governed by the law of England and Wales and the courts of England and Wales have exclusive jurisdiction.</w:t>
      </w:r>
    </w:p>
    <w:p>
      <w:pPr>
        <w:pStyle w:val="Heading2"/>
        <w:spacing w:after="80" w:before="180"/>
      </w:pPr>
      <w:r>
        <w:rPr>
          <w:rFonts w:ascii="Arial" w:cs="Arial" w:eastAsia="Arial" w:hAnsi="Arial"/>
          <w:b/>
          <w:bCs/>
          <w:color w:val="DC2626"/>
          <w:sz w:val="22"/>
          <w:szCs w:val="22"/>
        </w:rPr>
        <w:t xml:space="preserve">SIGNATURES</w:t>
      </w:r>
    </w:p>
    <w:p>
      <w:pPr>
        <w:spacing w:after="80"/>
      </w:pPr>
      <w:r>
        <w:rPr>
          <w:rFonts w:ascii="Arial" w:cs="Arial" w:eastAsia="Arial" w:hAnsi="Arial"/>
          <w:sz w:val="19"/>
          <w:szCs w:val="19"/>
        </w:rPr>
        <w:t xml:space="preserve">Signed by the parties on the date of this agreement. A witness signature is not required for a simple contract but is taken here because it settles later arguments about who signed and when.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D. Whitcombe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Contracts Manager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Witness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J. Farrant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Office Manager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bl>
    <w:p>
      <w:r>
        <w:br w:type="page"/>
      </w:r>
    </w:p>
    <w:p>
      <w:pPr>
        <w:pStyle w:val="Heading2"/>
        <w:spacing w:after="80" w:before="180"/>
      </w:pPr>
      <w:r>
        <w:rPr>
          <w:rFonts w:ascii="Arial" w:cs="Arial" w:eastAsia="Arial" w:hAnsi="Arial"/>
          <w:b/>
          <w:bCs/>
          <w:color w:val="DC2626"/>
          <w:sz w:val="22"/>
          <w:szCs w:val="22"/>
        </w:rPr>
        <w:t xml:space="preserve">SCHEDULE 1 — SCOPE OF THE SUBCONTRACT WORKS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Description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Drawing / specification reference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Supply and lay foul and surface water drainage, 150 and 225mm, with manholes MH1 to MH5</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KMD-C-310 rev C</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Supply and lay Type 1 granular sub-base to the service yard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KMD-C-402 rev B</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Supply and fix Class HB2 precast kerbing and edge restraints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KMD-C-402 rev B</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Supply and fix gully pots, gratings and connections to the drainage run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KMD-C-311 rev A</w:t>
            </w:r>
          </w:p>
        </w:tc>
      </w:tr>
    </w:tbl>
    <w:p>
      <w:pPr>
        <w:pStyle w:val="Heading2"/>
        <w:spacing w:after="80" w:before="180"/>
      </w:pPr>
      <w:r>
        <w:rPr>
          <w:rFonts w:ascii="Arial" w:cs="Arial" w:eastAsia="Arial" w:hAnsi="Arial"/>
          <w:b/>
          <w:bCs/>
          <w:color w:val="DC2626"/>
          <w:sz w:val="22"/>
          <w:szCs w:val="22"/>
        </w:rPr>
        <w:t xml:space="preserve">SCHEDULE 2 — PROGRAMME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Start on site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06/10/2025</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Period for completion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18 weeks from the start on site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Access and working hours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Monday to Friday 07:30 to 17:00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Programme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KMD-PROG-06 rev A</w:t>
            </w:r>
          </w:p>
        </w:tc>
      </w:tr>
    </w:tbl>
    <w:p>
      <w:pPr>
        <w:pStyle w:val="Heading2"/>
        <w:spacing w:after="80" w:before="180"/>
      </w:pPr>
      <w:r>
        <w:rPr>
          <w:rFonts w:ascii="Arial" w:cs="Arial" w:eastAsia="Arial" w:hAnsi="Arial"/>
          <w:b/>
          <w:bCs/>
          <w:color w:val="DC2626"/>
          <w:sz w:val="22"/>
          <w:szCs w:val="22"/>
        </w:rPr>
        <w:t xml:space="preserve">SCHEDULE 3 — PAYMENT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sum or rates,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£109,500.00, remeasurable against Schedule 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(period end date each month)</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15th of each month</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 days after the period end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14 days after the payment due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percentage, if any</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CIS deduction rate returned by HMRC</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registered subcontractor</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Of which materials,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£38,400.00 — stated on each application, CIS deduction runs on the balance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Labour element liable to CIS deduction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£71,100.00</w:t>
            </w:r>
          </w:p>
        </w:tc>
      </w:tr>
    </w:tbl>
    <w:p>
      <w:pPr>
        <w:pStyle w:val="Heading2"/>
        <w:spacing w:after="80" w:before="180"/>
      </w:pPr>
      <w:r>
        <w:rPr>
          <w:rFonts w:ascii="Arial" w:cs="Arial" w:eastAsia="Arial" w:hAnsi="Arial"/>
          <w:b/>
          <w:bCs/>
          <w:color w:val="DC2626"/>
          <w:sz w:val="22"/>
          <w:szCs w:val="22"/>
        </w:rPr>
        <w:t xml:space="preserve">SCHEDULE 4 — HEALTH AND SAFETY AND RAMS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Document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Provided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Construction phase plan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KMD-CPP-02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18/06/2025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Site rules and induction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KMD-SR-01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18/06/2025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Risk assessment and method statement — drainage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RAMS-KMD-08</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Risk assessment and method statement — kerbing and surfacing</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RAMS-KMD-09</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Material safety data sheets for supplied goods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SDS-KMD-02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29/09/2025</w:t>
            </w:r>
          </w:p>
        </w:tc>
      </w:tr>
    </w:tbl>
    <w:p>
      <w:pPr>
        <w:pStyle w:val="Heading2"/>
        <w:spacing w:after="80" w:before="180"/>
      </w:pPr>
      <w:r>
        <w:rPr>
          <w:rFonts w:ascii="Arial" w:cs="Arial" w:eastAsia="Arial" w:hAnsi="Arial"/>
          <w:b/>
          <w:bCs/>
          <w:color w:val="DC2626"/>
          <w:sz w:val="22"/>
          <w:szCs w:val="22"/>
        </w:rPr>
        <w:t xml:space="preserve">SCHEDULE 5 — INSURANCES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Cover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Minimum limit required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Insurer and policy number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Expiry date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Employers’ liability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£5,000,000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Ravensmere Insurance, EL-8820714</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31/03/2026</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Public liability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£10,000,000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Ravensmere Insurance, PL-8820715</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31/03/2026</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Product liability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£5,000,000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Ravensmere Insurance, PD-8820716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31/03/2026</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Professional indemnity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 required — no design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r>
    </w:tbl>
    <w:p>
      <w:pPr>
        <w:pStyle w:val="Heading2"/>
        <w:spacing w:after="80" w:before="180"/>
      </w:pPr>
      <w:r>
        <w:rPr>
          <w:rFonts w:ascii="Arial" w:cs="Arial" w:eastAsia="Arial" w:hAnsi="Arial"/>
          <w:b/>
          <w:bCs/>
          <w:color w:val="DC2626"/>
          <w:sz w:val="22"/>
          <w:szCs w:val="22"/>
        </w:rPr>
        <w:t xml:space="preserve">SCHEDULE 6 — RATES FOR VARIED AND DAYWORK WORK</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Resource or 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Unit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Rate (£)</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Percentage addition</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225mm concrete drainage pipe, supplied and laid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42.50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150mm concrete drainage pipe, supplied and laid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Precast concrete manhole ring, 1200mm</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168.00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Type 1 granular sub-base, supplied and laid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38.75</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Class HB2 precast kerb, supplied and fixed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27.40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Road gully pot and grating, supplied and fixed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96.00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Housing Grants, Construction and Regeneration Act 1996, s.112 (right to suspend performance for non-payment) — legislation.gov.uk/ukpga/1996/53/section/112</w:t>
      </w:r>
    </w:p>
    <w:p>
      <w:pPr>
        <w:spacing w:after="80"/>
      </w:pPr>
      <w:r>
        <w:rPr>
          <w:rFonts w:ascii="Arial" w:cs="Arial" w:eastAsia="Arial" w:hAnsi="Arial"/>
          <w:i w:val="false"/>
          <w:iCs w:val="false"/>
          <w:color w:val="5A6069"/>
          <w:sz w:val="19"/>
          <w:szCs w:val="19"/>
        </w:rPr>
        <w:t xml:space="preserve">Housing Grants, Construction and Regeneration Act 1996, s.113 (prohibition of conditional payment provisions) — legislation.gov.uk/ukpga/1996/53/section/113</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3.8 and 4.13 (cost of materials) — gov.uk/government/publications/construction-industry-scheme-cis-340</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Short form · Supply and fix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SUBCONTRACT AGREEMENT — SUPPLY AND FIX</dc:title>
  <dc:creator>Site Samurai</dc:creator>
  <dc:description>A short-form agreement for a single package of subcontract work. A starting point to adapt with your own advisers, not legal advice, and not a substitute for a standard form where the value or risk warrants one.</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