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Scheme default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the Scheme for Construction Contracts (England and Wales) Regulations 1998, Part II.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Use this version where the contract has no compliant payment mechanism of its own, so the Scheme supplies the missing terms.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Payment becomes due on the later of 7 days after the end of the relevant period and the making of the payee’s claim (paragraph 4).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17 days from the date payment becomes due (paragraph 8).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payer must give a payment notice not later than 5 days after the payment due date (paragraph 9).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7 days before the final date for payment (paragraph 10).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Scheme fills gaps clause by clause. Where the contract has a compliant mechanism for one of these, that clause stands and only the missing ones are supplied.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Scheme for Construction Contracts (England and Wales) Regulations 1998, Schedule Part II, paragraphs 4, 8, 9 and 10 — legislation.gov.uk/uksi/1998/649/schedule/part/II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Scheme default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the Scheme for Construction Contracts (England and Wales) Regulations 1998, Part II.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